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358</w:t>
      </w:r>
    </w:p>
    <w:p>
      <w:r>
        <w:t>Bundesgericht (BGE), 2004-07-22, DE</w:t>
      </w:r>
    </w:p>
    <w:p>
      <w:r>
        <w:rPr>
          <w:b/>
        </w:rPr>
        <w:t xml:space="preserve">Quelle: </w:t>
      </w:r>
      <w:r>
        <w:t>https://mcp.opencaselaw.ch/entscheid/bge_139 V 358</w:t>
      </w:r>
    </w:p>
    <w:p>
      <w:r>
        <w:t>FR: ATF 139 V 358</w:t>
      </w:r>
    </w:p>
    <w:p>
      <w:r>
        <w:t>IT: DTF 139 V 358</w:t>
      </w:r>
    </w:p>
    <w:p>
      <w:pPr>
        <w:pStyle w:val="Heading2"/>
      </w:pPr>
      <w:r>
        <w:t>Regeste</w:t>
      </w:r>
    </w:p>
    <w:p>
      <w:r>
        <w:t>Regeste Art. 9 Abs. 1, Art. 9 Abs. 5 lit. h, Art. 10 und 11 ELG; Art. 25a Abs. 1 ELV; Heimdefinition. Die Definition des Heimes in Art. 25a Abs. 1 ELV ist bundesrechtskonform. Ob ein Heimaufenthalt im Sinne des EL-Rechts gegeben ist, bestimmt sich danach, ob eine Einrichtung von einem Kanton als Heim anerkannt wird oder über eine kantonale Betriebsbewilligung verfügt (E. 2.3-5). Die Rechtsprechung unter dem früheren EL-Recht (BGE 118 V 142) ist überholt (E. 4.5).</w:t>
      </w:r>
    </w:p>
    <w:p>
      <w:pPr>
        <w:pStyle w:val="Heading2"/>
      </w:pPr>
      <w:r>
        <w:t>Erwägungen</w:t>
      </w:r>
    </w:p>
    <w:p>
      <w:r>
        <w:rPr>
          <w:b/>
        </w:rPr>
        <w:t>E. 2.1</w:t>
      </w:r>
    </w:p>
    <w:p>
      <w:r>
        <w:t>Nach Art. 112a BV richten Bund und Kantone Ergänzungsleistungen aus an Personen, deren Existenzbedarf durch die Leistungen der Alters-, Hinterlassenen- und Invalidenversicherung nicht gedeckt ist (Abs. 1). Das Gesetz legt den Umfang der Ergänzungsleistungen sowie die Aufgaben und Zuständigkeiten von Bund und Kantonen fest (Abs. 2).</w:t>
      </w:r>
    </w:p>
    <w:p>
      <w:r>
        <w:rPr>
          <w:b/>
        </w:rPr>
        <w:t>E. 2.2</w:t>
      </w:r>
    </w:p>
    <w:p>
      <w:r>
        <w:t>Gemäss Art. 2 Abs. 1 ELG (SR 831.30) gewähren der Bund und die Kantone Personen, welche die Voraussetzungen nach den Art. 4-6 ELG erfüllen, Ergänzungsleistungen zur Deckung ihres Existenzbedarfs. Nach Art. 4 Abs. 1 lit. a bis ELG haben Personen mit Wohnsitz und gewöhnlichem Aufenthalt in der Schweiz Anspruch auf Ergänzungsleistungen, wenn sie Anspruch auf eine Waisenrente der AHV haben. Aufgrund von Art. 9 Abs. 1 ELG entspricht die jährliche Ergänzungsleistung dem Betrag, um den die anerkannten Ausgaben ( Art. 10 ELG ) die anrechenbaren Einnahmen ( Art. 11 ELG ) übersteigen. Für in Heimen oder Spitälern wohnende Personen sind dazu in Art. 10 Abs. 2 und Art. 11 Abs. 2 ELG spezielle Regelungen getroffen worden. So wird gemäss Art. 10 Abs. 2 ELG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(lit. a).</w:t>
      </w:r>
    </w:p>
    <w:p>
      <w:r>
        <w:rPr>
          <w:b/>
        </w:rPr>
        <w:t>E. 2.3</w:t>
      </w:r>
    </w:p>
    <w:p>
      <w:r>
        <w:t>Nach Art. 9 Abs. 5 lit. h ELG bestimmt der Bundesrat die Definition des Heimes. Auf dieser - weiten - Delegationsgrundlage hat er in Art. 25a Abs. 1 ELV (SR 831.301) geregelt, dass als Heim jede BGE 139 V 358 S. 361 Einrichtung gilt, die von einem Kanton als Heim anerkannt wird oder über eine kantonale Betriebsbewilligung verfügt.</w:t>
      </w:r>
    </w:p>
    <w:p>
      <w:r>
        <w:rPr>
          <w:b/>
        </w:rPr>
        <w:t>E. 3</w:t>
      </w:r>
    </w:p>
    <w:p>
      <w:r>
        <w:t>Die Beschwerdegegnerin hat als Bezügerin einer Waisenrente der AHV einen gesetzlichen Anspruch auf EL zur Deckung ihres Existenzbedarfs (E. 2.2). Streitig und zu prüfen ist, ob die in einer Pflegefamilie betreute Bezügerin bei der Berechnung der Anspruchshöhe als zu Hause lebende Person ( Art. 10 Abs. 1 ELG ) oder als Person, die dauernd oder längere Zeit in einem Heim lebt ( Art. 10 Abs. 2 ELG ), zu betrachten ist.</w:t>
      </w:r>
    </w:p>
    <w:p>
      <w:r>
        <w:rPr>
          <w:b/>
        </w:rPr>
        <w:t>E. 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3.2</w:t>
      </w:r>
    </w:p>
    <w:p>
      <w:r>
        <w:t>Wie die Vorinstanz bei der Prüfung der konkreten Verhältnisse anhand der kantonalrechtlichen Gegebenheiten festgestellt hat, ist die Pflegefamilie vom Kanton nicht als Heim anerkannt und verfügt auch nicht über eine kantonale Betriebsbewilligung. Demnach lebe die Beschwerdegegnerin nicht in einem Heim nach Art. 25a Abs. 1 ELV . Jedoch sei der Bundesrat hier mit der Heimdefinition der gesetzgeberischen Vorgabe in Art. 9 Abs. 5 lit. h ELG (vorne E. 2.3) nicht nachgekommen. In der Botschaft vom 7. September 2005 zur Ausführungsgesetzgebung zur Neugestaltung des Finanzausgleichs und der Aufgabenteilung zwischen Bund und Kantonen (NFA; BBl 2005 6029 ff.) sei zum entsprechenden Artikel ausdrücklich festgehalten worden, es müsse einheitlich definiert sein, BGE 139 V 358 S. 362 was ein Heim ist; denn dies sei wesentlich bei Kantonswechseln der EL-beziehenden Person (BBl 2005 6228 Ziff. 2.9.8.3 zu Art. 9 Abs. 5 Bst. h E-ELG). Bei dieser gesetzgeberischen Vorgabe könne es nicht angehen, in der Verordnung die Heimdefinition an die Kantone weiterzudelegieren und ihnen, ohne wenigstens grobe Rahmenbedingungen zu setzen, dabei gänzlich freie Hand zu lassen. Es werde damit in Kauf genommen, dass auch äusserst restriktive kantonale Regelungen toleriert würden, mit denen der verfassungsmässige Anspruch auf Existenzsicherung unterschritten werde. Da die ELV - so die Vorinstanz weiter - die bundesrechtlich geforderte Definition des Heimbegriffs nicht ausreichend und in gesetzmässiger Art normiere, habe dies die Rechtsprechung zu tun. Dazu seien die unter dem früheren EL-Recht mit BGE 118 V 142 höchstrichterlich vorgegebenen Leitlinien zur Abgrenzung der Heime oder heimähnlichen Institutionen nach wie vor tauglich. Entscheidend sei hier auf die Heimbedürftigkeit der betreuten Person und darauf abzustellen, ob die Institution jener in adäquater Weise zu genügen vermöge. Dies beurteile sich vorab danach, ob die erforderlichen organisatorischen, infrastrukturellen und personellen Voraussetzungen gegeben seien. Die Einstufung als Heim oder heimähnliche Institution im Sinne des Ergänzungsleistungsrechts könne auch dann erfolgen, wenn es (wie hier) an einer Anerkennung oder Bewilligung nach kantonalem Heimrecht fehle. Die Vorinstanz kam zum Schluss, die Pflegefamilie der Beschwerdegegnerin sei als Pflegefamilie mit dafür erforderlicher behördlicher Bewilligung von Bundesrechts wegen als heimähnliche Institution zu betrachten. Sie hob den Einspracheentscheid auf und wies die Verwaltung an, die ab Mai 2011 festzusetzende Ergänzungsleistung für die Beschwerdegegnerin als Heimbewohnerin zu berechnen.</w:t>
      </w:r>
    </w:p>
    <w:p>
      <w:r>
        <w:rPr>
          <w:b/>
        </w:rPr>
        <w:t>E. 3.3</w:t>
      </w:r>
    </w:p>
    <w:p>
      <w:r>
        <w:t>Hiegegen wendet die Beschwerdeführerin ein, indem die Vorinstanz den vom Bundesrat erlassenen Art. 25a ELV als gesetzwidrig beurteile und den Begriff des Heims nach den Vorgaben von BGE 118 V 142 auf den konkreten Fall bezogen auslege, verletze sie Bundesrecht. Diese Prüfung obliege seit dem Inkrafttreten von Art. 25a ELV nicht mehr den Gerichten. Sie hätten sich vielmehr an den Vorgaben der Kantone und deren Einstufungen zu orientieren. Im Bundesrecht gelte im Bereich der AHV zudem eine analoge Regelung, indem gemäss Art. 66 bis Abs. 3 AHVV (SR 831.101) als Heim im Sinne von Art. 43 bis Abs. 1 bis AHVG jede Einrichtung gilt, die von einem Kanton als Heim anerkannt wird oder über eine BGE 139 V 358 S. 363 kantonale Betriebsbewilligung als Heim verfügt. Das Bundesgericht habe mit Urteil 9C_177/2012 vom 3. Juli 2012 E. 3 diese (im Wortlaut gleich wie Art. 25a ELV ausgestaltete) Vorschrift als gesetzmässig geschützt und dabei festgehalten, dass es bei der unmissverständlichen Definition auf Verordnungsstufe nicht den Ausgleichskassen und Gerichten obliege, noch materielle Gesichtspunkte zu prüfen. Analog beurteile sich auch im EL-Recht allein nach formellen Kriterien, ob sich eine Person in einem Heim aufhält. Verwaltung und Sozialversicherungsgericht hätten sich daran zu orientieren, ob der Kanton eine Institution als Heim anerkannt oder dieser die Betriebsbewilligung erteilt habe.</w:t>
      </w:r>
    </w:p>
    <w:p>
      <w:r>
        <w:rPr>
          <w:b/>
        </w:rPr>
        <w:t>E. 4.1</w:t>
      </w:r>
    </w:p>
    <w:p>
      <w:r>
        <w:t>Die im Rahmen der Neugestaltung des Finanzausgleichs und der Aufgabenteilung zwischen Bund und Kantonen (NFA) auf den 1. Januar 2008 erfolgte Aufgabenentflechtung zwischen Bund und Kantonen hatte im Bereich der EL-Gesetzgebung zur Folge, dass das bisherige Subventionsgesetz durch ein Leistungsgesetz abgelöst wurde (BBl 2005 6031, Übersicht). Nach dem bis 31. Dezember 2007 in Kraft gestandenen Art. 196 Ziff. 10 Übergangsbestimmungen zu Art. 112 BV richtete der Bund den Kantonen Beiträge an die Finanzierung von Ergänzungsleistungen aus, solange die eidgenössische AHV/IV den Rentnerinnen und Rentnern den Existenzbedarf nicht deckte. Aufgrund des auf 1. Januar 2008 in Kraft gesetzten Art. 112a BV richten nun Bund und Kantone Ergänzungsleistungen aus an Personen, deren Existenzbedarf durch die Leistungen der AHV/IV nicht gedeckt ist, wobei das Gesetz den Umfang der Ergänzungsleistungen sowie die Aufgaben und Zuständigkeiten von Bund und Kantonen festlegt (E. 2.1).</w:t>
      </w:r>
    </w:p>
    <w:p>
      <w:r>
        <w:rPr>
          <w:b/>
        </w:rPr>
        <w:t>E. 4.2</w:t>
      </w:r>
    </w:p>
    <w:p>
      <w:r>
        <w:t>Nach der Botschaft soll mit der Aufgabenneuverteilung die Deckung des allgemeinen Existenzbedarfs der EL-Bezügerinnen und -Bezüger zu fünf Achteln durch den Bund und zu drei Achteln durch die Kantone getragen werden. Die Finanzierung ist in Art. 13 ELG geregelt, in welchem der eben genannte Schlüssel mit Bezug auf die jährlichen Ergänzungsleistungen verankert ist (Abs. 1) und bestimmt wird, dass der Bund auch bei in Heimen oder Spitälern lebenden Personen fünf Achtel der jährlichen Ergänzungsleistungen übernimmt, soweit die in Art. 10 ELG vorgesehenen Beträge für den allgemeinen Lebensbedarf, den höchstmöglichen Mietzins und die anerkannten Ausgaben durch die anrechenbaren Einnahmen der EL-Bezügerinnen und -Bezüger nicht gedeckt sind (Abs. 2). Die BGE 139 V 358 S. 364 mit dem Heim- oder Spitalaufenthalt in direktem Zusammenhang stehenden Einnahmen werden dabei nicht berücksichtigt. Den Rest tragen die Kantone. Es betrifft dies die EL zur Deckung zusätzlicher Heimkosten sowie der Krankheits- und Behinderungskosten, welche vollständig zu Lasten der Kantone gehen. Die Botschaft fasst die Teilentflechtung zwischen Bund und Kantonen wie folgt zusammen: Existenzsicherung: 5/8 Bund und 3/8 Kantone; Vergütung der Krankheits- und Behinderungskosten: 100 % Kantone. Dabei will der Bundesrat an minimalen Handlungsspielräumen der Kantone festhalten (BBl 2005 6223 Ziff. 2.9.8.1.6). Die Kantone bestimmen selbstständig die Höhe der anrechenbaren Heimtaxen und beeinflussen damit auch den von ihnen zu tragenden EL-Teil (BBl 2005 6224 Ziff. 2.9.8.2.2).</w:t>
      </w:r>
    </w:p>
    <w:p>
      <w:r>
        <w:rPr>
          <w:b/>
        </w:rPr>
        <w:t>E. 4.3</w:t>
      </w:r>
    </w:p>
    <w:p>
      <w:r>
        <w:t>Nach der Botschaft muss einheitlich definiert sein, was ein Heim ist. Dies ist wesentlich bei Kantonswechseln der EL-beziehenden Person. Wichtig ist auch eine Koordination mit der Invalidenversicherung. Letzteres wird damit erreicht, dass eine Institution, die nach der Definition des Bundesgesetzes vom 6. Oktober 2006 über die Institutionen zur Förderung der Eingliederung von invaliden Personen (IFEG; SR 831.26) ein Heim ist - diese werden nach Art. 4 Abs. 1 IFEG durch den Kanton anerkannt -, auch nach dem ELG als Heim gelten soll (BBl 2005 6228 zu Art. 9 Abs. 5 Bst. h E-ELG).</w:t>
      </w:r>
    </w:p>
    <w:p>
      <w:r>
        <w:rPr>
          <w:b/>
        </w:rPr>
        <w:t>E. 4.4</w:t>
      </w:r>
    </w:p>
    <w:p>
      <w:r>
        <w:t>Die Delegationsnorm von Art. 9 Abs. 5 lit. h ELG lässt dem Bundesrat eine weite Gestaltungsfreiheit in der Setzung unselbstständigen Verordnungsrechts; sie enthält keine Vorgaben, unter welchen Voraussetzungen die Kantone Heime anzuerkennen oder ihnen eine Betriebsbewilligung zu erteilen haben. Nach den Materialien (Botschaft, Kommissionsprotokolle, AB) passierte die Regelung die Beratung der Gesetzesvorlage diskussionslos und unbestritten. Unter diesen Umständen hat sich das Bundesgericht nach Art. 190 BV auf die Prüfung zu beschränken, ob Art. 25a Abs. 1 ELV offensichtlich aus dem Rahmen der delegierten Kompetenz fällt oder aus anderen Gründen gesetzwidrig ist. Soweit das Gesetz den Bundesrat nicht ermächtigt, von der Verfassung abzuweichen, befindet das Gericht auch über die Verfassungsmässigkeit der unselbstständigen Verordnung. Die vom Verordnungsgeber in Art. 25a Abs. 1 ELV getroffene Regelung ist unter sämtlichen genannten Aspekten rechtlich nicht zu beanstanden. Es ist nicht Aufgabe des Bundesgerichts, sich zu deren wirtschaftlichen oder politischen Sachgerechtigkeit zu äussern (vgl. auch BGE 137 V 321 E. 3.3 S. 330 f. mit Hinweisen). BGE 139 V 358 S. 365</w:t>
      </w:r>
    </w:p>
    <w:p>
      <w:r>
        <w:rPr>
          <w:b/>
        </w:rPr>
        <w:t>E. 4.5</w:t>
      </w:r>
    </w:p>
    <w:p>
      <w:r>
        <w:t>Wenn eine wesentliche Funktion der einheitlichen Heimdefinition nach Art. 9 Abs. 5 lit. h ELG in Verbindung mit Art. 25a Abs. 1 ELV darin bestehen soll, dass EL-Bezügerinnen und -Bezüger beim Kantonswechsel wissen, ob sie EL-rechtlich neu in ein Heim eintreten oder in ein anderes Heim wechseln oder mit dem Wechsel aus einem Heim austreten (was auch kantonsintern von Relevanz ist), wird dieser gesetzlichen Vorgabe mit einer kantonalen Liste ohne weiteres Genüge getan. Flankierend hinzu kommen die Regelung in Art. 25a Abs. 2 ELV (bei IV-Hilflosenentschädigung) und die bereits genannte Koordination mit dem IFEG (vorne E. 4.3). Aufgrund des übergeordneten Rechts besteht kein zusätzlicher Regelungsbedarf durch Verwaltung und Gerichte. Die Rechtsprechung nach BGE 118 V 142 ist durch die bundesrechtliche Neuregelung überholt. Ausgelegt nach Wortlaut, Sinn und Zweck und den ihr zugrunde liegenden Wertungen ist die Regelung in Art. 25a ELV verfassungs- und gesetzeskonform. Wenn Art. 9 Abs. 5 lit. h ELG regelt, der Bundesrat bestimme die Definition des Heimes, kann dieser die Kompetenz an die Kantone weiterdelegieren. Es ist im Sinne der ratio legis, dass dafür die Kantone zuständig sind, soweit nicht ohnehin bundesrechtliche Regelungen Platz greifen.</w:t>
      </w:r>
    </w:p>
    <w:p>
      <w:r>
        <w:rPr>
          <w:b/>
        </w:rPr>
        <w:t>E. 5.1</w:t>
      </w:r>
    </w:p>
    <w:p>
      <w:r>
        <w:t>Damit wird entgegen der Befürchtung der Vorinstanz nicht in Kauf genommen, dass restriktive kantonale Regelungen zu tolerieren sind, mit denen der verfassungsmässige Anspruch auf Existenzsicherung unterschritten wird. Denn das aus den Materialien ersichtliche Postulat einer einheitlichen Heimdefinition ist von Art. 25a ELV in dem Sinne erfüllt, als die Verordnungsnorm die Anerkennungsvoraussetzungen klar und einheitlich definiert. Dass deren Erfüllung in concreto von einer kantonalen Heimzulassung abhängt, macht die bundesrechtlich geforderte Einheitlichkeit keineswegs rückgängig. Gemäss der Übersicht im kantonalen Entscheid über die einschlägigen kantonalrechtlichen Grundlagen sind im Kanton St. Gallen als Heime anerkannt die Leistungserbringer, welche in die gestützt auf Art. 39 KVG (im Hinblick auf Pflege, medizinische Betreuung und Rehabilitation von Langzeitpatienten) erstellte Pflegeheimliste der Kantonsregierung (sGS 381.181; Liste im Anhang) aufgenommen sind. Welche Einrichtungen eine Betriebsbewilligung für das Betreiben eines privaten Betagten- oder Pflegeheims mit mehr als fünf Plätzen gemäss Art. 32 des Sozialhilfegesetzes des Kantons St. Gallen vom 27. September 1998 (sGS 381.1; vgl. die Verordnung vom 3. Februar 2004 über private Betagten- und BGE 139 V 358 S. 366 Pflegeheime [VBP; sGS 381.18]) erhalten haben, ist aus einem Verzeichnis des kantonalen Departements des Innern ersichtlich. Über eine kantonale Bewilligung können ferner private Behinderteneinrichtungen verfügen. Der Kanton St. Gallen führt für Einrichtungen der Heimpflege von Unmündigen und Kindern unter zwölf Jahren auf der Grundlage von Art. 3 und 13 ff. der bundesrätlichen Verordnung vom 19. Oktober 1977 über die Aufnahme von Pflegekindern (Pflegekinderverordnung, PAVO; SR 211.222.338) gemäss Art. 4 der kantonalen Verordnung vom 21. September 1999 über Kinder- und Jugendheime (KJV; sGS 912.4) ein Verzeichnis der Kinder- und Jugendheime und der sozial- und heilpädagogischen Pflegefamilien mit Betriebsbewilligung. Nach Art. 1 Abs. 1 KJV gilt die Verordnung für Einrichtungen der Heimpflege, die dazu bestimmt sind, wenigstens drei Unmündige tags- und nachtsüber aufzunehmen (lit. a) und wenigstens sechs Kinder unter zwölf Jahren regelmässig tagsüber zu betreuen (lit. b).</w:t>
      </w:r>
    </w:p>
    <w:p>
      <w:r>
        <w:rPr>
          <w:b/>
        </w:rPr>
        <w:t>E. 5.2</w:t>
      </w:r>
    </w:p>
    <w:p>
      <w:r>
        <w:t>Damit ist es denn auch keineswegs ausgeschlossen, dass sich eine Pflegefamilie als Heim im EL-rechtlichen Sinne vom Kanton anerkennen lassen kann, womit die Voraussetzung nach Art. 25a ELV erfüllt wäre. Zeigt sich im Einzelfall, dass dieser Anspruch durch die bestehenden kantonalen Regelungen nicht gewährleistet wird, sind diese entsprechend zu korrigieren. Dabei kann es auch erforderlich sein, dass der Kanton im Heimbereich seine Anerkennungs- oder Bewilligungsgrundlagen anpasst. Eine allenfalls bestehende Lücke bei der Deckung des Existenzbedarfes wäre vorübergehend durch Sozialhilfeleistungen zu überbrücken. Nach der Botschaft ist dies nicht explizit ausgeschlossen, es soll aber nach Möglichkeit verhindert werden, dass zu den Ergänzungsleistungen noch Sozialhilfe beansprucht werden muss (BBl 2005 6226 Ziff. 2.9.8.3 zu Art. 2 E-ELG). Dem wird unter dem neuen EL-Recht bereits durch den Wegfall früherer Anspruchsbegrenzungen entgegengewirkt (BBl 2005 6224 Ziff. 2.9.8.2.2). Soweit der Bund nicht Regelungen getroffen hat (bspw. in der Koordination mit der Invalidenversicherung oder der Hilflosenentschädigung; oben E. 4.3 und 4.5), liegt der Handlungsbedarf im Heimbereich grundsätzlich beim Kanton; denn die Ergänzungsleistungen des Bundes dienen ungeachtet der Wohnsituation der Bezüger der (teilweisen) Deckung des allgemeinen Existenzbedarfes der Berechtigten. Die Ergänzungsleistungen zur Deckung der zusätzlichen Heimkosten sowie der Krankheits- und Behinderungskosten gehen hingegen vollständig zu Lasten der Kantone (BBl 2005 6223 Ziff. 2.9.8.2.1).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